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2FD1" w14:textId="77777777" w:rsidR="002875B5" w:rsidRDefault="00C7067D">
      <w:pPr>
        <w:pStyle w:val="Nadpis1"/>
        <w:tabs>
          <w:tab w:val="center" w:pos="4323"/>
          <w:tab w:val="left" w:pos="5580"/>
        </w:tabs>
        <w:spacing w:before="0" w:after="360"/>
        <w:jc w:val="center"/>
        <w:rPr>
          <w:rFonts w:ascii="Calibri" w:eastAsia="Calibri" w:hAnsi="Calibri"/>
          <w:color w:val="808080"/>
          <w:sz w:val="36"/>
          <w:szCs w:val="36"/>
        </w:rPr>
      </w:pPr>
      <w:r>
        <w:rPr>
          <w:rFonts w:ascii="Helvetica Neue" w:eastAsia="Helvetica Neue" w:hAnsi="Helvetica Neue" w:cs="Helvetica Neue"/>
          <w:color w:val="808080"/>
          <w:sz w:val="36"/>
          <w:szCs w:val="36"/>
        </w:rPr>
        <w:t xml:space="preserve">Furch </w:t>
      </w:r>
      <w:proofErr w:type="gramStart"/>
      <w:r>
        <w:rPr>
          <w:rFonts w:ascii="Helvetica Neue" w:eastAsia="Helvetica Neue" w:hAnsi="Helvetica Neue" w:cs="Helvetica Neue"/>
          <w:color w:val="808080"/>
          <w:sz w:val="36"/>
          <w:szCs w:val="36"/>
        </w:rPr>
        <w:t>končí</w:t>
      </w:r>
      <w:proofErr w:type="gramEnd"/>
      <w:r>
        <w:rPr>
          <w:rFonts w:ascii="Helvetica Neue" w:eastAsia="Helvetica Neue" w:hAnsi="Helvetica Neue" w:cs="Helvetica Neue"/>
          <w:color w:val="808080"/>
          <w:sz w:val="36"/>
          <w:szCs w:val="36"/>
        </w:rPr>
        <w:t xml:space="preserve"> s výrobou polomasivních kytar</w:t>
      </w:r>
    </w:p>
    <w:p w14:paraId="53C439D2" w14:textId="7760F668" w:rsidR="002875B5" w:rsidRDefault="00C7067D">
      <w:pPr>
        <w:spacing w:after="240"/>
        <w:jc w:val="both"/>
        <w:rPr>
          <w:rFonts w:ascii="Calibri" w:eastAsia="Calibri" w:hAnsi="Calibri" w:cs="Calibri"/>
          <w:b/>
        </w:rPr>
      </w:pPr>
      <w:r>
        <w:rPr>
          <w:rFonts w:ascii="Calibri" w:eastAsia="Calibri" w:hAnsi="Calibri" w:cs="Calibri"/>
          <w:b/>
          <w:color w:val="000000"/>
        </w:rPr>
        <w:t xml:space="preserve">Velké Němčice, </w:t>
      </w:r>
      <w:r w:rsidR="00954580">
        <w:rPr>
          <w:rFonts w:ascii="Calibri" w:eastAsia="Calibri" w:hAnsi="Calibri" w:cs="Calibri"/>
          <w:b/>
          <w:color w:val="000000"/>
        </w:rPr>
        <w:t>31</w:t>
      </w:r>
      <w:r>
        <w:rPr>
          <w:rFonts w:ascii="Calibri" w:eastAsia="Calibri" w:hAnsi="Calibri" w:cs="Calibri"/>
          <w:b/>
          <w:color w:val="000000"/>
        </w:rPr>
        <w:t xml:space="preserve">. </w:t>
      </w:r>
      <w:r w:rsidR="00651FEE">
        <w:rPr>
          <w:rFonts w:ascii="Calibri" w:eastAsia="Calibri" w:hAnsi="Calibri" w:cs="Calibri"/>
          <w:b/>
          <w:color w:val="000000"/>
        </w:rPr>
        <w:t>května</w:t>
      </w:r>
      <w:r>
        <w:rPr>
          <w:rFonts w:ascii="Calibri" w:eastAsia="Calibri" w:hAnsi="Calibri" w:cs="Calibri"/>
          <w:b/>
          <w:color w:val="000000"/>
        </w:rPr>
        <w:t xml:space="preserve"> 202</w:t>
      </w:r>
      <w:r w:rsidR="00651FEE">
        <w:rPr>
          <w:rFonts w:ascii="Calibri" w:eastAsia="Calibri" w:hAnsi="Calibri" w:cs="Calibri"/>
          <w:b/>
          <w:color w:val="000000"/>
        </w:rPr>
        <w:t>2</w:t>
      </w:r>
      <w:r>
        <w:rPr>
          <w:rFonts w:ascii="Calibri" w:eastAsia="Calibri" w:hAnsi="Calibri" w:cs="Calibri"/>
          <w:b/>
          <w:color w:val="000000"/>
        </w:rPr>
        <w:t xml:space="preserve"> – Společnost Furch Guitars (</w:t>
      </w:r>
      <w:hyperlink r:id="rId7">
        <w:r>
          <w:rPr>
            <w:rFonts w:ascii="Calibri" w:eastAsia="Calibri" w:hAnsi="Calibri" w:cs="Calibri"/>
            <w:b/>
            <w:color w:val="808080"/>
          </w:rPr>
          <w:t>Furch</w:t>
        </w:r>
      </w:hyperlink>
      <w:r>
        <w:rPr>
          <w:rFonts w:ascii="Calibri" w:eastAsia="Calibri" w:hAnsi="Calibri" w:cs="Calibri"/>
          <w:b/>
          <w:color w:val="000000"/>
        </w:rPr>
        <w:t xml:space="preserve">), </w:t>
      </w:r>
      <w:r>
        <w:rPr>
          <w:rFonts w:ascii="Calibri" w:eastAsia="Calibri" w:hAnsi="Calibri" w:cs="Calibri"/>
          <w:b/>
        </w:rPr>
        <w:t>přední světový výrobce akustických kytar prémiové kvality, ukončuje výrobu svých polomasivních nástrojů. Důvodem je technologický posun výroby a s</w:t>
      </w:r>
      <w:r w:rsidRPr="00E66F17">
        <w:rPr>
          <w:rFonts w:ascii="Calibri" w:eastAsia="Calibri" w:hAnsi="Calibri" w:cs="Calibri"/>
          <w:bCs/>
        </w:rPr>
        <w:t> </w:t>
      </w:r>
      <w:r>
        <w:rPr>
          <w:rFonts w:ascii="Calibri" w:eastAsia="Calibri" w:hAnsi="Calibri" w:cs="Calibri"/>
          <w:b/>
        </w:rPr>
        <w:t>ním spojené další navyšování kvality. Stávající řady Indigo a Violet nahradí nový celomasivní model Violet SM.</w:t>
      </w:r>
    </w:p>
    <w:p w14:paraId="29EAFF6A" w14:textId="77777777" w:rsidR="002875B5" w:rsidRDefault="00C7067D">
      <w:pPr>
        <w:spacing w:after="120"/>
        <w:jc w:val="both"/>
        <w:rPr>
          <w:rFonts w:ascii="Calibri" w:eastAsia="Calibri" w:hAnsi="Calibri" w:cs="Calibri"/>
        </w:rPr>
      </w:pPr>
      <w:r>
        <w:rPr>
          <w:rFonts w:ascii="Calibri" w:eastAsia="Calibri" w:hAnsi="Calibri" w:cs="Calibri"/>
        </w:rPr>
        <w:t xml:space="preserve">Furch začal v posledních dvou letech výrazněji investovat do nejnovějších technologií, které by mu pomohly zefektivnit některé jeho výrobní postupy a dosáhnout tak vyšší výrobní kapacity a současně i kvality jeho nástrojů. Reagoval tímto na řadu výzev v podobě rostoucí poptávky či výpadku pracovních sil, které s sebou přinesla nedávná pandemie. Postupná optimalizace těchto technologií mu zároveň umožnila začít vyrábět vybrané celomasivní kytary za cenu polomasivních. Furch se proto i s ohledem na další směřování své značky rozhodl výrobu kytar z vrstveného mahagonu definitivně ukončit. </w:t>
      </w:r>
    </w:p>
    <w:p w14:paraId="37553BFB" w14:textId="77777777" w:rsidR="002875B5" w:rsidRDefault="00C7067D">
      <w:pPr>
        <w:spacing w:after="120"/>
        <w:jc w:val="both"/>
        <w:rPr>
          <w:rFonts w:ascii="Calibri" w:eastAsia="Calibri" w:hAnsi="Calibri" w:cs="Calibri"/>
        </w:rPr>
      </w:pPr>
      <w:r>
        <w:rPr>
          <w:rFonts w:ascii="Calibri" w:eastAsia="Calibri" w:hAnsi="Calibri" w:cs="Calibri"/>
        </w:rPr>
        <w:t>„</w:t>
      </w:r>
      <w:r>
        <w:rPr>
          <w:rFonts w:ascii="Calibri" w:eastAsia="Calibri" w:hAnsi="Calibri" w:cs="Calibri"/>
          <w:i/>
        </w:rPr>
        <w:t>Naším cílem je dělat nástroje, které umožní každému hráči plně vyjádřit jeho herní dovednosti i kreativitu. Abychom toho dosáhli a současně dále navyšovali jejich kvalitu, musíme naši výrobu neustále posouvat směrem kupředu a moderní technologie nám v tomto ohledu hodně pomáhají,“</w:t>
      </w:r>
      <w:r>
        <w:rPr>
          <w:rFonts w:ascii="Calibri" w:eastAsia="Calibri" w:hAnsi="Calibri" w:cs="Calibri"/>
        </w:rPr>
        <w:t xml:space="preserve"> říká Petr Furch, CEO Furch Guitars.</w:t>
      </w:r>
    </w:p>
    <w:p w14:paraId="5BEAE80B" w14:textId="3E9A0984" w:rsidR="002875B5" w:rsidRDefault="00C7067D">
      <w:pPr>
        <w:spacing w:after="120"/>
        <w:jc w:val="both"/>
        <w:rPr>
          <w:rFonts w:ascii="Calibri" w:eastAsia="Calibri" w:hAnsi="Calibri" w:cs="Calibri"/>
        </w:rPr>
      </w:pPr>
      <w:r>
        <w:rPr>
          <w:rFonts w:ascii="Calibri" w:eastAsia="Calibri" w:hAnsi="Calibri" w:cs="Calibri"/>
          <w:i/>
        </w:rPr>
        <w:t>“Technologie, které ve Furchu stavíme a využíváme, jsou primárně zaměřeny na</w:t>
      </w:r>
      <w:r w:rsidR="00E66F17" w:rsidRPr="00E66F17">
        <w:rPr>
          <w:rFonts w:ascii="Calibri" w:eastAsia="Calibri" w:hAnsi="Calibri" w:cs="Calibri"/>
          <w:bCs/>
        </w:rPr>
        <w:t> </w:t>
      </w:r>
      <w:r>
        <w:rPr>
          <w:rFonts w:ascii="Calibri" w:eastAsia="Calibri" w:hAnsi="Calibri" w:cs="Calibri"/>
          <w:i/>
        </w:rPr>
        <w:t xml:space="preserve">celomasivní nástroje, jež doteď tvořily více než 80 % naší produkce. Jejich implementací jsme dosáhli řady úspěchů, např. přesnějšího ladění rezonančních desek či přesnějších nástřiků povrchové úpravy, které se pozitivně projevily i v samotném zvuku kytar,” </w:t>
      </w:r>
      <w:r>
        <w:rPr>
          <w:rFonts w:ascii="Calibri" w:eastAsia="Calibri" w:hAnsi="Calibri" w:cs="Calibri"/>
        </w:rPr>
        <w:t>říká Petr Furch.</w:t>
      </w:r>
      <w:r>
        <w:rPr>
          <w:rFonts w:ascii="Calibri" w:eastAsia="Calibri" w:hAnsi="Calibri" w:cs="Calibri"/>
          <w:i/>
        </w:rPr>
        <w:t xml:space="preserve"> “Pokud vezmeme v úvahu náš interní vývoj a na druhé straně masivní inflaci, které svět v posledních letech čelí, dostali jsme se dokonce do situace, kdy se pro nás stala výroba polomasivních kytar dražší než výroba těch celomasivních. Až tak efektivní může být správné použití moderních technologií při výrobě kytar“</w:t>
      </w:r>
      <w:r>
        <w:rPr>
          <w:rFonts w:ascii="Calibri" w:eastAsia="Calibri" w:hAnsi="Calibri" w:cs="Calibri"/>
        </w:rPr>
        <w:t>.</w:t>
      </w:r>
    </w:p>
    <w:p w14:paraId="5DD4E25C" w14:textId="77777777" w:rsidR="002875B5" w:rsidRDefault="00C7067D">
      <w:pPr>
        <w:spacing w:after="120"/>
        <w:jc w:val="both"/>
        <w:rPr>
          <w:rFonts w:ascii="Calibri" w:eastAsia="Calibri" w:hAnsi="Calibri" w:cs="Calibri"/>
        </w:rPr>
      </w:pPr>
      <w:r>
        <w:rPr>
          <w:rFonts w:ascii="Calibri" w:eastAsia="Calibri" w:hAnsi="Calibri" w:cs="Calibri"/>
        </w:rPr>
        <w:t xml:space="preserve">Ukončení výroby polomasivních nástrojů se dotkne kytarových řad Indigo a Violet. Zatímco řada Indigo bude kompletně zrušena, kytary Violet nahradí nový celomasivní model Violet SM. </w:t>
      </w:r>
    </w:p>
    <w:p w14:paraId="4AFCC0A2" w14:textId="77777777" w:rsidR="002875B5" w:rsidRDefault="00C7067D">
      <w:pPr>
        <w:spacing w:after="120"/>
        <w:jc w:val="both"/>
        <w:rPr>
          <w:rFonts w:ascii="Calibri" w:eastAsia="Calibri" w:hAnsi="Calibri" w:cs="Calibri"/>
          <w:b/>
        </w:rPr>
      </w:pPr>
      <w:r>
        <w:rPr>
          <w:rFonts w:ascii="Calibri" w:eastAsia="Calibri" w:hAnsi="Calibri" w:cs="Calibri"/>
          <w:b/>
        </w:rPr>
        <w:t>Violet SM – špičkový zvuk ve stylovém provedení</w:t>
      </w:r>
    </w:p>
    <w:p w14:paraId="5D76DF31" w14:textId="3C6F7A20" w:rsidR="002875B5" w:rsidRDefault="00C7067D">
      <w:pPr>
        <w:spacing w:after="120"/>
        <w:jc w:val="both"/>
        <w:rPr>
          <w:rFonts w:ascii="Calibri" w:eastAsia="Calibri" w:hAnsi="Calibri" w:cs="Calibri"/>
        </w:rPr>
      </w:pPr>
      <w:r>
        <w:rPr>
          <w:rFonts w:ascii="Calibri" w:eastAsia="Calibri" w:hAnsi="Calibri" w:cs="Calibri"/>
        </w:rPr>
        <w:t>Kytara Violet SM představuje to nejlepší ve své cenové kategorii, ať už po stránce originálního zvuku Furch, tak i kvality zpracování. Přední deska nástroje je vyrobena ze</w:t>
      </w:r>
      <w:r w:rsidR="00E66F17" w:rsidRPr="00E66F17">
        <w:rPr>
          <w:rFonts w:ascii="Calibri" w:eastAsia="Calibri" w:hAnsi="Calibri" w:cs="Calibri"/>
          <w:bCs/>
        </w:rPr>
        <w:t> </w:t>
      </w:r>
      <w:r>
        <w:rPr>
          <w:rFonts w:ascii="Calibri" w:eastAsia="Calibri" w:hAnsi="Calibri" w:cs="Calibri"/>
        </w:rPr>
        <w:t>smrku sitka, jehož akustické vlastnosti dále vyzdvihuje inovativní proces ladění, aplikovaný na každý nástroj zvlášť. Zadní deska a luby pocházejí z afrického mahagonu. Tato kombinace dodává kytaře skvěle vyvážený zvuk s čistými výškami, hřejivými basy i</w:t>
      </w:r>
      <w:r w:rsidR="00E66F17" w:rsidRPr="00E66F17">
        <w:rPr>
          <w:rFonts w:ascii="Calibri" w:eastAsia="Calibri" w:hAnsi="Calibri" w:cs="Calibri"/>
          <w:bCs/>
        </w:rPr>
        <w:t> </w:t>
      </w:r>
      <w:r>
        <w:rPr>
          <w:rFonts w:ascii="Calibri" w:eastAsia="Calibri" w:hAnsi="Calibri" w:cs="Calibri"/>
        </w:rPr>
        <w:t>dlouhým dozvukem. Je tak ideální pro delikátní fingerstyle i agresivnější flatpicking či</w:t>
      </w:r>
      <w:r w:rsidR="00E66F17" w:rsidRPr="00E66F17">
        <w:rPr>
          <w:rFonts w:ascii="Calibri" w:eastAsia="Calibri" w:hAnsi="Calibri" w:cs="Calibri"/>
          <w:bCs/>
        </w:rPr>
        <w:t> </w:t>
      </w:r>
      <w:r>
        <w:rPr>
          <w:rFonts w:ascii="Calibri" w:eastAsia="Calibri" w:hAnsi="Calibri" w:cs="Calibri"/>
        </w:rPr>
        <w:t>strumming.</w:t>
      </w:r>
    </w:p>
    <w:p w14:paraId="345D3A8F" w14:textId="36569403" w:rsidR="002875B5" w:rsidRDefault="00C7067D">
      <w:pPr>
        <w:spacing w:after="120"/>
        <w:jc w:val="both"/>
        <w:rPr>
          <w:rFonts w:ascii="Calibri" w:eastAsia="Calibri" w:hAnsi="Calibri" w:cs="Calibri"/>
        </w:rPr>
      </w:pPr>
      <w:r>
        <w:rPr>
          <w:rFonts w:ascii="Calibri" w:eastAsia="Calibri" w:hAnsi="Calibri" w:cs="Calibri"/>
        </w:rPr>
        <w:lastRenderedPageBreak/>
        <w:t xml:space="preserve">Krk nástroje je vybaven patentovaným řešením Furch CNR </w:t>
      </w:r>
      <w:proofErr w:type="spellStart"/>
      <w:r>
        <w:rPr>
          <w:rFonts w:ascii="Calibri" w:eastAsia="Calibri" w:hAnsi="Calibri" w:cs="Calibri"/>
        </w:rPr>
        <w:t>Sy</w:t>
      </w:r>
      <w:r w:rsidR="00C154C8">
        <w:rPr>
          <w:rFonts w:ascii="Calibri" w:eastAsia="Calibri" w:hAnsi="Calibri" w:cs="Calibri"/>
        </w:rPr>
        <w:t>s</w:t>
      </w:r>
      <w:r>
        <w:rPr>
          <w:rFonts w:ascii="Calibri" w:eastAsia="Calibri" w:hAnsi="Calibri" w:cs="Calibri"/>
        </w:rPr>
        <w:t>tem</w:t>
      </w:r>
      <w:proofErr w:type="spellEnd"/>
      <w:r>
        <w:rPr>
          <w:rFonts w:ascii="Calibri" w:eastAsia="Calibri" w:hAnsi="Calibri" w:cs="Calibri"/>
        </w:rPr>
        <w:t>, které zlepšuje schopnost jemného nastavení průhybu krku a současně zajišťuje dlouhodobou stabilitu tohoto nastavení.</w:t>
      </w:r>
    </w:p>
    <w:p w14:paraId="779C5F08" w14:textId="77777777" w:rsidR="002875B5" w:rsidRDefault="00C7067D">
      <w:pPr>
        <w:spacing w:after="120"/>
        <w:jc w:val="both"/>
        <w:rPr>
          <w:rFonts w:ascii="Calibri" w:eastAsia="Calibri" w:hAnsi="Calibri" w:cs="Calibri"/>
        </w:rPr>
      </w:pPr>
      <w:r>
        <w:rPr>
          <w:rFonts w:ascii="Calibri" w:eastAsia="Calibri" w:hAnsi="Calibri" w:cs="Calibri"/>
          <w:color w:val="000000"/>
        </w:rPr>
        <w:t xml:space="preserve">Stylový přírodní vzhled </w:t>
      </w:r>
      <w:r>
        <w:rPr>
          <w:rFonts w:ascii="Calibri" w:eastAsia="Calibri" w:hAnsi="Calibri" w:cs="Calibri"/>
        </w:rPr>
        <w:t>kytary</w:t>
      </w:r>
      <w:r>
        <w:rPr>
          <w:rFonts w:ascii="Calibri" w:eastAsia="Calibri" w:hAnsi="Calibri" w:cs="Calibri"/>
          <w:color w:val="000000"/>
        </w:rPr>
        <w:t xml:space="preserve"> podtrhuje řada tmavých ozdobných detailů společně s ultratenkým </w:t>
      </w:r>
      <w:r>
        <w:rPr>
          <w:rFonts w:ascii="Calibri" w:eastAsia="Calibri" w:hAnsi="Calibri" w:cs="Calibri"/>
        </w:rPr>
        <w:t>7</w:t>
      </w:r>
      <w:r>
        <w:rPr>
          <w:rFonts w:ascii="Calibri" w:eastAsia="Calibri" w:hAnsi="Calibri" w:cs="Calibri"/>
          <w:color w:val="000000"/>
        </w:rPr>
        <w:t>0 mikronovým UV lakováním</w:t>
      </w:r>
      <w:r>
        <w:rPr>
          <w:rFonts w:ascii="Calibri" w:eastAsia="Calibri" w:hAnsi="Calibri" w:cs="Calibri"/>
        </w:rPr>
        <w:t xml:space="preserve"> Open-</w:t>
      </w:r>
      <w:proofErr w:type="spellStart"/>
      <w:r>
        <w:rPr>
          <w:rFonts w:ascii="Calibri" w:eastAsia="Calibri" w:hAnsi="Calibri" w:cs="Calibri"/>
        </w:rPr>
        <w:t>Pore</w:t>
      </w:r>
      <w:proofErr w:type="spellEnd"/>
      <w:r>
        <w:rPr>
          <w:rFonts w:ascii="Calibri" w:eastAsia="Calibri" w:hAnsi="Calibri" w:cs="Calibri"/>
        </w:rPr>
        <w:t xml:space="preserve"> </w:t>
      </w:r>
      <w:proofErr w:type="spellStart"/>
      <w:r>
        <w:rPr>
          <w:rFonts w:ascii="Calibri" w:eastAsia="Calibri" w:hAnsi="Calibri" w:cs="Calibri"/>
        </w:rPr>
        <w:t>Finish</w:t>
      </w:r>
      <w:proofErr w:type="spellEnd"/>
      <w:r>
        <w:rPr>
          <w:rFonts w:ascii="Calibri" w:eastAsia="Calibri" w:hAnsi="Calibri" w:cs="Calibri"/>
        </w:rPr>
        <w:t xml:space="preserve"> zanechávajícím otevřené hluboké póry dřeva</w:t>
      </w:r>
      <w:r>
        <w:rPr>
          <w:rFonts w:ascii="Calibri" w:eastAsia="Calibri" w:hAnsi="Calibri" w:cs="Calibri"/>
          <w:highlight w:val="white"/>
        </w:rPr>
        <w:t>.</w:t>
      </w:r>
      <w:r>
        <w:rPr>
          <w:rFonts w:ascii="Calibri" w:eastAsia="Calibri" w:hAnsi="Calibri" w:cs="Calibri"/>
        </w:rPr>
        <w:t xml:space="preserve"> Kytara Violet SM je dostupná v provedení dreadnought a grand auditorium s výřezem.</w:t>
      </w:r>
    </w:p>
    <w:p w14:paraId="44F6A300" w14:textId="68BB6C98" w:rsidR="002875B5" w:rsidRDefault="00C7067D">
      <w:pPr>
        <w:spacing w:after="200"/>
        <w:jc w:val="both"/>
        <w:rPr>
          <w:rFonts w:ascii="Calibri" w:eastAsia="Calibri" w:hAnsi="Calibri" w:cs="Calibri"/>
        </w:rPr>
      </w:pPr>
      <w:r>
        <w:rPr>
          <w:rFonts w:ascii="Calibri" w:eastAsia="Calibri" w:hAnsi="Calibri" w:cs="Calibri"/>
        </w:rPr>
        <w:t xml:space="preserve">Součástí řady Violet je také model Violet </w:t>
      </w:r>
      <w:proofErr w:type="spellStart"/>
      <w:r>
        <w:rPr>
          <w:rFonts w:ascii="Calibri" w:eastAsia="Calibri" w:hAnsi="Calibri" w:cs="Calibri"/>
        </w:rPr>
        <w:t>Master</w:t>
      </w:r>
      <w:r w:rsidR="005F48EB">
        <w:rPr>
          <w:rFonts w:ascii="Calibri" w:eastAsia="Calibri" w:hAnsi="Calibri" w:cs="Calibri"/>
        </w:rPr>
        <w:t>‘</w:t>
      </w:r>
      <w:r>
        <w:rPr>
          <w:rFonts w:ascii="Calibri" w:eastAsia="Calibri" w:hAnsi="Calibri" w:cs="Calibri"/>
        </w:rPr>
        <w:t>s</w:t>
      </w:r>
      <w:proofErr w:type="spellEnd"/>
      <w:r>
        <w:rPr>
          <w:rFonts w:ascii="Calibri" w:eastAsia="Calibri" w:hAnsi="Calibri" w:cs="Calibri"/>
        </w:rPr>
        <w:t xml:space="preserve"> </w:t>
      </w:r>
      <w:proofErr w:type="spellStart"/>
      <w:r>
        <w:rPr>
          <w:rFonts w:ascii="Calibri" w:eastAsia="Calibri" w:hAnsi="Calibri" w:cs="Calibri"/>
        </w:rPr>
        <w:t>Choice</w:t>
      </w:r>
      <w:proofErr w:type="spellEnd"/>
      <w:r>
        <w:rPr>
          <w:rFonts w:ascii="Calibri" w:eastAsia="Calibri" w:hAnsi="Calibri" w:cs="Calibri"/>
        </w:rPr>
        <w:t xml:space="preserve"> </w:t>
      </w:r>
      <w:proofErr w:type="spellStart"/>
      <w:r>
        <w:rPr>
          <w:rFonts w:ascii="Calibri" w:eastAsia="Calibri" w:hAnsi="Calibri" w:cs="Calibri"/>
        </w:rPr>
        <w:t>Gc</w:t>
      </w:r>
      <w:proofErr w:type="spellEnd"/>
      <w:r>
        <w:rPr>
          <w:rFonts w:ascii="Calibri" w:eastAsia="Calibri" w:hAnsi="Calibri" w:cs="Calibri"/>
        </w:rPr>
        <w:t xml:space="preserve">-SM doplněný o snímací elektroniku LR </w:t>
      </w:r>
      <w:proofErr w:type="spellStart"/>
      <w:r>
        <w:rPr>
          <w:rFonts w:ascii="Calibri" w:eastAsia="Calibri" w:hAnsi="Calibri" w:cs="Calibri"/>
        </w:rPr>
        <w:t>Baggs</w:t>
      </w:r>
      <w:proofErr w:type="spellEnd"/>
      <w:r>
        <w:rPr>
          <w:rFonts w:ascii="Calibri" w:eastAsia="Calibri" w:hAnsi="Calibri" w:cs="Calibri"/>
        </w:rPr>
        <w:t xml:space="preserve"> </w:t>
      </w:r>
      <w:proofErr w:type="spellStart"/>
      <w:r>
        <w:rPr>
          <w:rFonts w:ascii="Calibri" w:eastAsia="Calibri" w:hAnsi="Calibri" w:cs="Calibri"/>
        </w:rPr>
        <w:t>Stagepro</w:t>
      </w:r>
      <w:proofErr w:type="spellEnd"/>
      <w:r>
        <w:rPr>
          <w:rFonts w:ascii="Calibri" w:eastAsia="Calibri" w:hAnsi="Calibri" w:cs="Calibri"/>
        </w:rPr>
        <w:t xml:space="preserve"> Element.</w:t>
      </w:r>
    </w:p>
    <w:p w14:paraId="44D822D2" w14:textId="77777777" w:rsidR="002875B5" w:rsidRDefault="00C7067D">
      <w:pPr>
        <w:jc w:val="both"/>
        <w:rPr>
          <w:rFonts w:ascii="Calibri" w:eastAsia="Calibri" w:hAnsi="Calibri" w:cs="Calibri"/>
          <w:b/>
        </w:rPr>
      </w:pPr>
      <w:r>
        <w:rPr>
          <w:rFonts w:ascii="Calibri" w:eastAsia="Calibri" w:hAnsi="Calibri" w:cs="Calibri"/>
          <w:b/>
        </w:rPr>
        <w:t>Dostupnost</w:t>
      </w:r>
    </w:p>
    <w:p w14:paraId="32BCBABE" w14:textId="478A3C01" w:rsidR="002875B5" w:rsidRDefault="00C7067D">
      <w:pPr>
        <w:spacing w:after="200"/>
        <w:jc w:val="both"/>
        <w:rPr>
          <w:rFonts w:ascii="Calibri" w:eastAsia="Calibri" w:hAnsi="Calibri" w:cs="Calibri"/>
        </w:rPr>
      </w:pPr>
      <w:r>
        <w:rPr>
          <w:rFonts w:ascii="Calibri" w:eastAsia="Calibri" w:hAnsi="Calibri" w:cs="Calibri"/>
          <w:highlight w:val="white"/>
        </w:rPr>
        <w:t>Furch spustil interní objednávky pro svou distribuční a dealerskou síť na konci minulého roku. Nové modely Violet se tak v těchto měsících dostávají na pulty obchodů po celém světě. Pro možnost nástroje vyzkoušet nebo objednat stačí kontaktovat kteréhokoliv z</w:t>
      </w:r>
      <w:r w:rsidR="00E66F17" w:rsidRPr="00E66F17">
        <w:rPr>
          <w:rFonts w:ascii="Calibri" w:eastAsia="Calibri" w:hAnsi="Calibri" w:cs="Calibri"/>
          <w:bCs/>
        </w:rPr>
        <w:t> </w:t>
      </w:r>
      <w:r>
        <w:rPr>
          <w:rFonts w:ascii="Calibri" w:eastAsia="Calibri" w:hAnsi="Calibri" w:cs="Calibri"/>
          <w:highlight w:val="white"/>
        </w:rPr>
        <w:t>autorizovaných prodejců Furch.</w:t>
      </w:r>
    </w:p>
    <w:p w14:paraId="0D54C672" w14:textId="77777777" w:rsidR="002875B5" w:rsidRDefault="00C7067D">
      <w:pPr>
        <w:jc w:val="both"/>
        <w:rPr>
          <w:rFonts w:ascii="Calibri" w:eastAsia="Calibri" w:hAnsi="Calibri" w:cs="Calibri"/>
          <w:color w:val="222222"/>
        </w:rPr>
      </w:pPr>
      <w:r>
        <w:rPr>
          <w:rFonts w:ascii="Calibri" w:eastAsia="Calibri" w:hAnsi="Calibri" w:cs="Calibri"/>
          <w:b/>
          <w:sz w:val="20"/>
          <w:szCs w:val="20"/>
        </w:rPr>
        <w:t>O společnosti Furch Guitars</w:t>
      </w:r>
    </w:p>
    <w:p w14:paraId="084DB878" w14:textId="77777777" w:rsidR="002875B5" w:rsidRDefault="00C7067D">
      <w:pPr>
        <w:spacing w:before="120"/>
        <w:jc w:val="both"/>
        <w:rPr>
          <w:rFonts w:ascii="Calibri" w:eastAsia="Calibri" w:hAnsi="Calibri" w:cs="Calibri"/>
          <w:sz w:val="20"/>
          <w:szCs w:val="20"/>
        </w:rPr>
      </w:pPr>
      <w:r>
        <w:rPr>
          <w:rFonts w:ascii="Calibri" w:eastAsia="Calibri" w:hAnsi="Calibri" w:cs="Calibri"/>
          <w:sz w:val="20"/>
          <w:szCs w:val="20"/>
        </w:rPr>
        <w:t xml:space="preserve">Společnost Furch Guitars (Furch) byla založena v roce 1981 a postupně se vypracovala mezi nejvýznamnější světové výrobce celomasivních akustických kytar. Výrobní areál i sídlo společnosti se nachází ve Velkých Němčicích v blízkosti Brna. Furch úspěšně spojuje dlouholeté know-how z oblasti ruční výroby kytar s nejmodernějšími výrobními procesy, technologiemi a vlastními inovacemi, díky čemuž dodává na trh prémiové nástroje s vynikajícími akustickými i materiálovými parametry. Furch dodává své nástroje s tříletou zárukou do 32 zemí na pěti světových kontinentech, zaměstnává přes 60 špičkových nástrojářů a ročně produkuje více než 8 000 kytar, které využívá např. Al di </w:t>
      </w:r>
      <w:proofErr w:type="spellStart"/>
      <w:r>
        <w:rPr>
          <w:rFonts w:ascii="Calibri" w:eastAsia="Calibri" w:hAnsi="Calibri" w:cs="Calibri"/>
          <w:sz w:val="20"/>
          <w:szCs w:val="20"/>
        </w:rPr>
        <w:t>Meola</w:t>
      </w:r>
      <w:proofErr w:type="spellEnd"/>
      <w:r>
        <w:rPr>
          <w:rFonts w:ascii="Calibri" w:eastAsia="Calibri" w:hAnsi="Calibri" w:cs="Calibri"/>
          <w:sz w:val="20"/>
          <w:szCs w:val="20"/>
        </w:rPr>
        <w:t xml:space="preserve">, Suzanne Vega, Per </w:t>
      </w:r>
      <w:proofErr w:type="spellStart"/>
      <w:r>
        <w:rPr>
          <w:rFonts w:ascii="Calibri" w:eastAsia="Calibri" w:hAnsi="Calibri" w:cs="Calibri"/>
          <w:sz w:val="20"/>
          <w:szCs w:val="20"/>
        </w:rPr>
        <w:t>Gessle</w:t>
      </w:r>
      <w:proofErr w:type="spellEnd"/>
      <w:r>
        <w:rPr>
          <w:rFonts w:ascii="Calibri" w:eastAsia="Calibri" w:hAnsi="Calibri" w:cs="Calibri"/>
          <w:sz w:val="20"/>
          <w:szCs w:val="20"/>
        </w:rPr>
        <w:t xml:space="preserve">, David Koller, Vlasta Redl, </w:t>
      </w:r>
      <w:proofErr w:type="spellStart"/>
      <w:r>
        <w:rPr>
          <w:rFonts w:ascii="Calibri" w:eastAsia="Calibri" w:hAnsi="Calibri" w:cs="Calibri"/>
          <w:sz w:val="20"/>
          <w:szCs w:val="20"/>
        </w:rPr>
        <w:t>Mirai</w:t>
      </w:r>
      <w:proofErr w:type="spellEnd"/>
      <w:r>
        <w:rPr>
          <w:rFonts w:ascii="Calibri" w:eastAsia="Calibri" w:hAnsi="Calibri" w:cs="Calibri"/>
          <w:sz w:val="20"/>
          <w:szCs w:val="20"/>
        </w:rPr>
        <w:t xml:space="preserve"> Navrátil či Marek Ztracený. Další informace lze najít na webu </w:t>
      </w:r>
      <w:hyperlink r:id="rId8">
        <w:r>
          <w:rPr>
            <w:rFonts w:ascii="Calibri" w:eastAsia="Calibri" w:hAnsi="Calibri" w:cs="Calibri"/>
            <w:color w:val="808080"/>
            <w:sz w:val="20"/>
            <w:szCs w:val="20"/>
            <w:u w:val="single"/>
          </w:rPr>
          <w:t>www.furchguitars.com</w:t>
        </w:r>
      </w:hyperlink>
      <w:r>
        <w:rPr>
          <w:rFonts w:ascii="Calibri" w:eastAsia="Calibri" w:hAnsi="Calibri" w:cs="Calibri"/>
          <w:sz w:val="20"/>
          <w:szCs w:val="20"/>
        </w:rPr>
        <w:t>.</w:t>
      </w:r>
    </w:p>
    <w:p w14:paraId="28AA77C9" w14:textId="77777777" w:rsidR="002875B5" w:rsidRDefault="00C7067D">
      <w:pPr>
        <w:spacing w:before="240" w:after="240"/>
        <w:jc w:val="center"/>
        <w:rPr>
          <w:rFonts w:ascii="Calibri" w:eastAsia="Calibri" w:hAnsi="Calibri" w:cs="Calibri"/>
          <w:sz w:val="20"/>
          <w:szCs w:val="20"/>
        </w:rPr>
      </w:pPr>
      <w:r>
        <w:rPr>
          <w:rFonts w:ascii="Calibri" w:eastAsia="Calibri" w:hAnsi="Calibri" w:cs="Calibri"/>
          <w:sz w:val="20"/>
          <w:szCs w:val="20"/>
        </w:rPr>
        <w:t>• • •</w:t>
      </w:r>
    </w:p>
    <w:p w14:paraId="2EC22998" w14:textId="77777777" w:rsidR="002875B5" w:rsidRDefault="00C7067D">
      <w:pPr>
        <w:spacing w:before="240" w:after="240"/>
        <w:rPr>
          <w:rFonts w:ascii="Calibri" w:eastAsia="Calibri" w:hAnsi="Calibri" w:cs="Calibri"/>
          <w:sz w:val="20"/>
          <w:szCs w:val="20"/>
        </w:rPr>
      </w:pPr>
      <w:r>
        <w:rPr>
          <w:rFonts w:ascii="Calibri" w:eastAsia="Calibri" w:hAnsi="Calibri" w:cs="Calibri"/>
          <w:b/>
          <w:sz w:val="20"/>
          <w:szCs w:val="20"/>
        </w:rPr>
        <w:t xml:space="preserve">Kontakt pro média: </w:t>
      </w:r>
      <w:r>
        <w:rPr>
          <w:rFonts w:ascii="Calibri" w:eastAsia="Calibri" w:hAnsi="Calibri" w:cs="Calibri"/>
          <w:sz w:val="20"/>
          <w:szCs w:val="20"/>
        </w:rPr>
        <w:t xml:space="preserve">Klára Ariño, </w:t>
      </w:r>
      <w:hyperlink r:id="rId9">
        <w:r>
          <w:rPr>
            <w:rFonts w:ascii="Calibri" w:eastAsia="Calibri" w:hAnsi="Calibri" w:cs="Calibri"/>
            <w:color w:val="000000"/>
            <w:sz w:val="20"/>
            <w:szCs w:val="20"/>
          </w:rPr>
          <w:t>press@furchguitars.com</w:t>
        </w:r>
      </w:hyperlink>
      <w:r>
        <w:rPr>
          <w:rFonts w:ascii="Calibri" w:eastAsia="Calibri" w:hAnsi="Calibri" w:cs="Calibri"/>
          <w:color w:val="000000"/>
          <w:sz w:val="20"/>
          <w:szCs w:val="20"/>
        </w:rPr>
        <w:t xml:space="preserve">, </w:t>
      </w:r>
      <w:r>
        <w:rPr>
          <w:rFonts w:ascii="Calibri" w:eastAsia="Calibri" w:hAnsi="Calibri" w:cs="Calibri"/>
          <w:sz w:val="20"/>
          <w:szCs w:val="20"/>
        </w:rPr>
        <w:t>725 861 034</w:t>
      </w:r>
    </w:p>
    <w:sectPr w:rsidR="002875B5">
      <w:headerReference w:type="even" r:id="rId10"/>
      <w:headerReference w:type="default" r:id="rId11"/>
      <w:footerReference w:type="default" r:id="rId12"/>
      <w:pgSz w:w="11906" w:h="16838"/>
      <w:pgMar w:top="3629" w:right="992" w:bottom="1329" w:left="2268" w:header="708" w:footer="1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47A2" w14:textId="77777777" w:rsidR="007574D2" w:rsidRDefault="007574D2">
      <w:r>
        <w:separator/>
      </w:r>
    </w:p>
  </w:endnote>
  <w:endnote w:type="continuationSeparator" w:id="0">
    <w:p w14:paraId="179B9B1E" w14:textId="77777777" w:rsidR="007574D2" w:rsidRDefault="0075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EFC1" w14:textId="77777777" w:rsidR="002875B5" w:rsidRDefault="00C7067D">
    <w:pPr>
      <w:pBdr>
        <w:top w:val="nil"/>
        <w:left w:val="nil"/>
        <w:bottom w:val="nil"/>
        <w:right w:val="nil"/>
        <w:between w:val="nil"/>
      </w:pBdr>
      <w:tabs>
        <w:tab w:val="center" w:pos="4536"/>
        <w:tab w:val="right" w:pos="9072"/>
      </w:tabs>
      <w:jc w:val="center"/>
      <w:rPr>
        <w:color w:val="808080"/>
        <w:sz w:val="16"/>
        <w:szCs w:val="16"/>
      </w:rPr>
    </w:pPr>
    <w:r>
      <w:rPr>
        <w:color w:val="808080"/>
        <w:sz w:val="16"/>
        <w:szCs w:val="16"/>
      </w:rPr>
      <w:t xml:space="preserve">Furch Guitars • Městečko 27, 691 63 Velké Němčice • tel.: +420 519 417 285 • e-mail: </w:t>
    </w:r>
    <w:hyperlink r:id="rId1">
      <w:r>
        <w:rPr>
          <w:color w:val="808080"/>
          <w:sz w:val="16"/>
          <w:szCs w:val="16"/>
          <w:u w:val="single"/>
        </w:rPr>
        <w:t>support@furchguitars.com</w:t>
      </w:r>
    </w:hyperlink>
  </w:p>
  <w:p w14:paraId="43A48FD0" w14:textId="77777777" w:rsidR="002875B5" w:rsidRDefault="00C7067D">
    <w:pPr>
      <w:pBdr>
        <w:top w:val="nil"/>
        <w:left w:val="nil"/>
        <w:bottom w:val="nil"/>
        <w:right w:val="nil"/>
        <w:between w:val="nil"/>
      </w:pBdr>
      <w:tabs>
        <w:tab w:val="center" w:pos="4536"/>
        <w:tab w:val="right" w:pos="9072"/>
      </w:tabs>
      <w:rPr>
        <w:color w:val="808080"/>
        <w:sz w:val="16"/>
        <w:szCs w:val="16"/>
      </w:rPr>
    </w:pPr>
    <w:r>
      <w:rPr>
        <w:noProof/>
      </w:rPr>
      <w:drawing>
        <wp:anchor distT="0" distB="0" distL="0" distR="0" simplePos="0" relativeHeight="251660288" behindDoc="1" locked="0" layoutInCell="1" hidden="0" allowOverlap="1" wp14:anchorId="60ED1D9A" wp14:editId="03958746">
          <wp:simplePos x="0" y="0"/>
          <wp:positionH relativeFrom="column">
            <wp:posOffset>2159000</wp:posOffset>
          </wp:positionH>
          <wp:positionV relativeFrom="paragraph">
            <wp:posOffset>114300</wp:posOffset>
          </wp:positionV>
          <wp:extent cx="381000" cy="38100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381000" cy="381000"/>
                  </a:xfrm>
                  <a:prstGeom prst="rect">
                    <a:avLst/>
                  </a:prstGeom>
                  <a:ln/>
                </pic:spPr>
              </pic:pic>
            </a:graphicData>
          </a:graphic>
        </wp:anchor>
      </w:drawing>
    </w:r>
  </w:p>
  <w:p w14:paraId="1B2DEA18" w14:textId="77777777" w:rsidR="002875B5" w:rsidRDefault="002875B5">
    <w:pPr>
      <w:pBdr>
        <w:top w:val="nil"/>
        <w:left w:val="nil"/>
        <w:bottom w:val="nil"/>
        <w:right w:val="nil"/>
        <w:between w:val="nil"/>
      </w:pBdr>
      <w:tabs>
        <w:tab w:val="center" w:pos="4536"/>
        <w:tab w:val="right" w:pos="9072"/>
      </w:tabs>
      <w:jc w:val="center"/>
      <w:rPr>
        <w:color w:val="808080"/>
        <w:sz w:val="16"/>
        <w:szCs w:val="16"/>
      </w:rPr>
    </w:pPr>
  </w:p>
  <w:p w14:paraId="4B7A51CA" w14:textId="77777777" w:rsidR="002875B5" w:rsidRDefault="002875B5">
    <w:pPr>
      <w:pBdr>
        <w:top w:val="nil"/>
        <w:left w:val="nil"/>
        <w:bottom w:val="nil"/>
        <w:right w:val="nil"/>
        <w:between w:val="nil"/>
      </w:pBdr>
      <w:tabs>
        <w:tab w:val="center" w:pos="4536"/>
        <w:tab w:val="right" w:pos="9072"/>
      </w:tabs>
      <w:rPr>
        <w:color w:val="808080"/>
        <w:sz w:val="16"/>
        <w:szCs w:val="16"/>
      </w:rPr>
    </w:pPr>
  </w:p>
  <w:p w14:paraId="2EA09FA1" w14:textId="77777777" w:rsidR="002875B5" w:rsidRDefault="002875B5">
    <w:pPr>
      <w:pBdr>
        <w:top w:val="nil"/>
        <w:left w:val="nil"/>
        <w:bottom w:val="nil"/>
        <w:right w:val="nil"/>
        <w:between w:val="nil"/>
      </w:pBdr>
      <w:tabs>
        <w:tab w:val="center" w:pos="4536"/>
        <w:tab w:val="right" w:pos="9072"/>
      </w:tabs>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5DD5" w14:textId="77777777" w:rsidR="007574D2" w:rsidRDefault="007574D2">
      <w:r>
        <w:separator/>
      </w:r>
    </w:p>
  </w:footnote>
  <w:footnote w:type="continuationSeparator" w:id="0">
    <w:p w14:paraId="6978200B" w14:textId="77777777" w:rsidR="007574D2" w:rsidRDefault="0075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2A2B" w14:textId="77777777" w:rsidR="002875B5" w:rsidRDefault="00C7067D">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420CA53B" wp14:editId="7A2B9CCD">
          <wp:extent cx="5384800" cy="1854200"/>
          <wp:effectExtent l="0" t="0" r="0" b="0"/>
          <wp:docPr id="24" name="image3.png" descr="šablona_hlavička_2"/>
          <wp:cNvGraphicFramePr/>
          <a:graphic xmlns:a="http://schemas.openxmlformats.org/drawingml/2006/main">
            <a:graphicData uri="http://schemas.openxmlformats.org/drawingml/2006/picture">
              <pic:pic xmlns:pic="http://schemas.openxmlformats.org/drawingml/2006/picture">
                <pic:nvPicPr>
                  <pic:cNvPr id="0" name="image3.png" descr="šablona_hlavička_2"/>
                  <pic:cNvPicPr preferRelativeResize="0"/>
                </pic:nvPicPr>
                <pic:blipFill>
                  <a:blip r:embed="rId1"/>
                  <a:srcRect/>
                  <a:stretch>
                    <a:fillRect/>
                  </a:stretch>
                </pic:blipFill>
                <pic:spPr>
                  <a:xfrm>
                    <a:off x="0" y="0"/>
                    <a:ext cx="53848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496" w14:textId="090A20F4" w:rsidR="002875B5" w:rsidRDefault="00717959">
    <w:pPr>
      <w:pBdr>
        <w:top w:val="nil"/>
        <w:left w:val="nil"/>
        <w:bottom w:val="nil"/>
        <w:right w:val="nil"/>
        <w:between w:val="nil"/>
      </w:pBdr>
      <w:tabs>
        <w:tab w:val="center" w:pos="4536"/>
        <w:tab w:val="right" w:pos="9072"/>
      </w:tabs>
      <w:jc w:val="right"/>
      <w:rPr>
        <w:color w:val="000000"/>
      </w:rPr>
    </w:pPr>
    <w:r>
      <w:rPr>
        <w:noProof/>
        <w:lang w:val="en-US"/>
      </w:rPr>
      <mc:AlternateContent>
        <mc:Choice Requires="wps">
          <w:drawing>
            <wp:anchor distT="0" distB="0" distL="114300" distR="114300" simplePos="0" relativeHeight="251662336" behindDoc="1" locked="0" layoutInCell="1" allowOverlap="1" wp14:anchorId="649EF37A" wp14:editId="40EF6A0F">
              <wp:simplePos x="0" y="0"/>
              <wp:positionH relativeFrom="column">
                <wp:posOffset>-4495800</wp:posOffset>
              </wp:positionH>
              <wp:positionV relativeFrom="paragraph">
                <wp:posOffset>5071110</wp:posOffset>
              </wp:positionV>
              <wp:extent cx="7429500" cy="100330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429500" cy="1003300"/>
                      </a:xfrm>
                      <a:prstGeom prst="rect">
                        <a:avLst/>
                      </a:prstGeom>
                    </wps:spPr>
                    <wps:txbx>
                      <w:txbxContent>
                        <w:p w14:paraId="1ED5BEEC" w14:textId="77777777" w:rsidR="00717959" w:rsidRPr="00AB67F8" w:rsidRDefault="00717959" w:rsidP="00717959">
                          <w:pPr>
                            <w:pStyle w:val="Normlnweb"/>
                            <w:spacing w:before="0" w:beforeAutospacing="0" w:after="0" w:afterAutospacing="0"/>
                            <w:jc w:val="center"/>
                            <w:rPr>
                              <w:color w:val="DDDDDD"/>
                              <w:sz w:val="40"/>
                              <w:szCs w:val="40"/>
                            </w:rPr>
                          </w:pPr>
                          <w:r w:rsidRPr="00AB67F8">
                            <w:rPr>
                              <w:rFonts w:ascii="Verdana" w:eastAsia="Verdana" w:hAnsi="Verdana" w:cs="Verdana"/>
                              <w:color w:val="DDDDDD"/>
                              <w:sz w:val="40"/>
                              <w:szCs w:val="40"/>
                            </w:rPr>
                            <w:t>TISKOVÁ ZPRÁVA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9EF37A" id="_x0000_t202" coordsize="21600,21600" o:spt="202" path="m,l,21600r21600,l21600,xe">
              <v:stroke joinstyle="miter"/>
              <v:path gradientshapeok="t" o:connecttype="rect"/>
            </v:shapetype>
            <v:shape id="WordArt 8" o:spid="_x0000_s1026" type="#_x0000_t202" style="position:absolute;left:0;text-align:left;margin-left:-354pt;margin-top:399.3pt;width:585pt;height:79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" filled="f" stroked="f">
              <o:lock v:ext="edit" shapetype="t"/>
              <v:textbox>
                <w:txbxContent>
                  <w:p w14:paraId="1ED5BEEC" w14:textId="77777777" w:rsidR="00717959" w:rsidRPr="00AB67F8" w:rsidRDefault="00717959" w:rsidP="00717959">
                    <w:pPr>
                      <w:pStyle w:val="Normlnweb"/>
                      <w:spacing w:before="0" w:beforeAutospacing="0" w:after="0" w:afterAutospacing="0"/>
                      <w:jc w:val="center"/>
                      <w:rPr>
                        <w:color w:val="DDDDDD"/>
                        <w:sz w:val="40"/>
                        <w:szCs w:val="40"/>
                      </w:rPr>
                    </w:pPr>
                    <w:r w:rsidRPr="00AB67F8">
                      <w:rPr>
                        <w:rFonts w:ascii="Verdana" w:eastAsia="Verdana" w:hAnsi="Verdana" w:cs="Verdana"/>
                        <w:color w:val="DDDDDD"/>
                        <w:sz w:val="40"/>
                        <w:szCs w:val="40"/>
                      </w:rPr>
                      <w:t>TISKOVÁ ZPRÁVA</w:t>
                    </w:r>
                  </w:p>
                </w:txbxContent>
              </v:textbox>
            </v:shape>
          </w:pict>
        </mc:Fallback>
      </mc:AlternateContent>
    </w:r>
    <w:r w:rsidR="00C7067D">
      <w:rPr>
        <w:noProof/>
        <w:color w:val="000000"/>
      </w:rPr>
      <w:drawing>
        <wp:anchor distT="0" distB="0" distL="114300" distR="114300" simplePos="0" relativeHeight="251658240" behindDoc="0" locked="0" layoutInCell="1" hidden="0" allowOverlap="1" wp14:anchorId="762B528A" wp14:editId="770A71E3">
          <wp:simplePos x="0" y="0"/>
          <wp:positionH relativeFrom="page">
            <wp:posOffset>-1268</wp:posOffset>
          </wp:positionH>
          <wp:positionV relativeFrom="page">
            <wp:posOffset>3498</wp:posOffset>
          </wp:positionV>
          <wp:extent cx="7584468" cy="2152650"/>
          <wp:effectExtent l="0" t="0" r="0" b="0"/>
          <wp:wrapSquare wrapText="bothSides" distT="0" distB="0" distL="114300" distR="11430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4468" cy="21526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B5"/>
    <w:rsid w:val="002875B5"/>
    <w:rsid w:val="005F48EB"/>
    <w:rsid w:val="00651FEE"/>
    <w:rsid w:val="00717959"/>
    <w:rsid w:val="007574D2"/>
    <w:rsid w:val="00954580"/>
    <w:rsid w:val="00C154C8"/>
    <w:rsid w:val="00C7067D"/>
    <w:rsid w:val="00E66F17"/>
    <w:rsid w:val="00F33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F760880"/>
  <w15:docId w15:val="{D945A0B5-D37B-C247-AA2F-A18250AB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187"/>
  </w:style>
  <w:style w:type="paragraph" w:styleId="Nadpis1">
    <w:name w:val="heading 1"/>
    <w:basedOn w:val="Normln"/>
    <w:next w:val="Normln"/>
    <w:link w:val="Nadpis1Char"/>
    <w:uiPriority w:val="9"/>
    <w:qFormat/>
    <w:rsid w:val="000A2293"/>
    <w:pPr>
      <w:keepNext/>
      <w:keepLines/>
      <w:spacing w:before="480" w:line="259" w:lineRule="auto"/>
      <w:outlineLvl w:val="0"/>
    </w:pPr>
    <w:rPr>
      <w:rFonts w:ascii="Calibri Light" w:hAnsi="Calibri Light" w:cs="Calibri"/>
      <w:b/>
      <w:bCs/>
      <w:color w:val="2E74B5"/>
      <w:sz w:val="28"/>
      <w:szCs w:val="28"/>
      <w:lang w:eastAsia="en-US"/>
    </w:rPr>
  </w:style>
  <w:style w:type="paragraph" w:styleId="Nadpis2">
    <w:name w:val="heading 2"/>
    <w:basedOn w:val="Normln"/>
    <w:next w:val="Normln"/>
    <w:link w:val="Nadpis2Char"/>
    <w:uiPriority w:val="9"/>
    <w:semiHidden/>
    <w:unhideWhenUsed/>
    <w:qFormat/>
    <w:rsid w:val="000A2293"/>
    <w:pPr>
      <w:keepNext/>
      <w:keepLines/>
      <w:spacing w:before="200" w:line="259" w:lineRule="auto"/>
      <w:outlineLvl w:val="1"/>
    </w:pPr>
    <w:rPr>
      <w:rFonts w:ascii="Calibri Light" w:hAnsi="Calibri Light" w:cs="Calibri"/>
      <w:b/>
      <w:bCs/>
      <w:color w:val="5B9BD5"/>
      <w:sz w:val="26"/>
      <w:szCs w:val="26"/>
      <w:lang w:eastAsia="en-US"/>
    </w:rPr>
  </w:style>
  <w:style w:type="paragraph" w:styleId="Nadpis3">
    <w:name w:val="heading 3"/>
    <w:basedOn w:val="Normln"/>
    <w:next w:val="Normln"/>
    <w:link w:val="Nadpis3Char"/>
    <w:uiPriority w:val="9"/>
    <w:semiHidden/>
    <w:unhideWhenUsed/>
    <w:qFormat/>
    <w:rsid w:val="00D06AEF"/>
    <w:pPr>
      <w:keepNext/>
      <w:keepLines/>
      <w:spacing w:before="200" w:line="259" w:lineRule="auto"/>
      <w:outlineLvl w:val="2"/>
    </w:pPr>
    <w:rPr>
      <w:rFonts w:ascii="Calibri Light" w:hAnsi="Calibri Light" w:cs="Calibri"/>
      <w:b/>
      <w:bCs/>
      <w:color w:val="5B9BD5"/>
      <w:sz w:val="22"/>
      <w:szCs w:val="22"/>
      <w:lang w:eastAsia="en-US"/>
    </w:rPr>
  </w:style>
  <w:style w:type="paragraph" w:styleId="Nadpis4">
    <w:name w:val="heading 4"/>
    <w:basedOn w:val="Normln"/>
    <w:next w:val="Normln"/>
    <w:uiPriority w:val="9"/>
    <w:semiHidden/>
    <w:unhideWhenUsed/>
    <w:qFormat/>
    <w:pPr>
      <w:keepNext/>
      <w:keepLines/>
      <w:spacing w:before="240" w:after="40" w:line="259" w:lineRule="auto"/>
      <w:outlineLvl w:val="3"/>
    </w:pPr>
    <w:rPr>
      <w:rFonts w:ascii="Calibri" w:eastAsia="Calibri" w:hAnsi="Calibri" w:cs="Calibri"/>
      <w:b/>
      <w:lang w:eastAsia="en-US"/>
    </w:rPr>
  </w:style>
  <w:style w:type="paragraph" w:styleId="Nadpis5">
    <w:name w:val="heading 5"/>
    <w:basedOn w:val="Normln"/>
    <w:next w:val="Normln"/>
    <w:uiPriority w:val="9"/>
    <w:semiHidden/>
    <w:unhideWhenUsed/>
    <w:qFormat/>
    <w:pPr>
      <w:keepNext/>
      <w:keepLines/>
      <w:spacing w:before="220" w:after="40" w:line="259" w:lineRule="auto"/>
      <w:outlineLvl w:val="4"/>
    </w:pPr>
    <w:rPr>
      <w:rFonts w:ascii="Calibri" w:eastAsia="Calibri" w:hAnsi="Calibri" w:cs="Calibri"/>
      <w:b/>
      <w:sz w:val="22"/>
      <w:szCs w:val="22"/>
      <w:lang w:eastAsia="en-US"/>
    </w:rPr>
  </w:style>
  <w:style w:type="paragraph" w:styleId="Nadpis6">
    <w:name w:val="heading 6"/>
    <w:basedOn w:val="Normln"/>
    <w:next w:val="Normln"/>
    <w:uiPriority w:val="9"/>
    <w:semiHidden/>
    <w:unhideWhenUsed/>
    <w:qFormat/>
    <w:pPr>
      <w:keepNext/>
      <w:keepLines/>
      <w:spacing w:before="200" w:after="40" w:line="259" w:lineRule="auto"/>
      <w:outlineLvl w:val="5"/>
    </w:pPr>
    <w:rPr>
      <w:rFonts w:ascii="Calibri" w:eastAsia="Calibri" w:hAnsi="Calibri" w:cs="Calibri"/>
      <w:b/>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line="259" w:lineRule="auto"/>
    </w:pPr>
    <w:rPr>
      <w:rFonts w:ascii="Calibri" w:eastAsia="Calibri" w:hAnsi="Calibri" w:cs="Calibri"/>
      <w:b/>
      <w:sz w:val="72"/>
      <w:szCs w:val="72"/>
      <w:lang w:eastAsia="en-US"/>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after="160"/>
    </w:pPr>
    <w:rPr>
      <w:rFonts w:ascii="Calibri" w:eastAsia="Calibri" w:hAnsi="Calibri" w:cs="Calibri"/>
      <w:sz w:val="20"/>
      <w:szCs w:val="20"/>
      <w:lang w:eastAsia="en-US"/>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rPr>
      <w:rFonts w:ascii="Segoe UI" w:eastAsia="Calibri" w:hAnsi="Segoe UI" w:cs="Segoe UI"/>
      <w:sz w:val="18"/>
      <w:szCs w:val="18"/>
      <w:lang w:eastAsia="en-US"/>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pPr>
    <w:rPr>
      <w:rFonts w:ascii="Calibri" w:eastAsia="Calibri" w:hAnsi="Calibri" w:cs="Calibri"/>
      <w:sz w:val="22"/>
      <w:szCs w:val="22"/>
      <w:lang w:eastAsia="en-US"/>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pPr>
    <w:rPr>
      <w:rFonts w:ascii="Calibri" w:eastAsia="Calibri" w:hAnsi="Calibri" w:cs="Calibri"/>
      <w:sz w:val="22"/>
      <w:szCs w:val="22"/>
      <w:lang w:eastAsia="en-US"/>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pPr>
    <w:rPr>
      <w:rFonts w:eastAsia="Calibri" w:cs="Calibri"/>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rPr>
      <w:rFonts w:ascii="Calibri" w:eastAsia="Calibr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 w:type="paragraph" w:styleId="Revize">
    <w:name w:val="Revision"/>
    <w:hidden/>
    <w:uiPriority w:val="99"/>
    <w:semiHidden/>
    <w:rsid w:val="005D6102"/>
    <w:rPr>
      <w:lang w:eastAsia="en-US"/>
    </w:rPr>
  </w:style>
  <w:style w:type="paragraph" w:styleId="Podnadpis">
    <w:name w:val="Subtitle"/>
    <w:basedOn w:val="Normln"/>
    <w:next w:val="Normln"/>
    <w:uiPriority w:val="11"/>
    <w:qFormat/>
    <w:pPr>
      <w:keepNext/>
      <w:keepLines/>
      <w:spacing w:before="360" w:after="80" w:line="259" w:lineRule="auto"/>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BE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support@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xR81VfxK7CwRfDKn2clQdnX/6w==">AMUW2mVotEwOJ3VdxPi8PnNe8KfzLtsmVXfiFJk68BB8vNCrRKalNgGidxS+N6KD2DsCmNnU1O50K9k+NkOhdkygM2mSf8KLqbS2mso4985bHg6OLdMSfxA=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673</Words>
  <Characters>3974</Characters>
  <Application>Microsoft Office Word</Application>
  <DocSecurity>0</DocSecurity>
  <Lines>33</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Furch Office</cp:lastModifiedBy>
  <cp:revision>9</cp:revision>
  <dcterms:created xsi:type="dcterms:W3CDTF">2022-03-24T13:56:00Z</dcterms:created>
  <dcterms:modified xsi:type="dcterms:W3CDTF">2022-05-30T12:57:00Z</dcterms:modified>
</cp:coreProperties>
</file>